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Маршрут Umbwe</w:t>
      </w:r>
      <w:bookmarkEnd w:id="0"/>
    </w:p>
    <w:p/>
    <w:p>
      <w:pPr>
        <w:pStyle w:val="pStyle"/>
      </w:pPr>
      <w:r>
        <w:rPr>
          <w:b w:val="1"/>
          <w:bCs w:val="1"/>
        </w:rPr>
        <w:t xml:space="preserve">Даты тура: </w:t>
      </w:r>
    </w:p>
    <w:p>
      <w:pPr>
        <w:pStyle w:val="pStyle"/>
      </w:pPr>
      <w:r>
        <w:rPr>
          <w:b w:val="1"/>
          <w:bCs w:val="1"/>
        </w:rPr>
        <w:t xml:space="preserve">Страна: </w:t>
      </w:r>
      <w:r>
        <w:rPr/>
        <w:t xml:space="preserve">Танзания</w:t>
      </w:r>
    </w:p>
    <w:p>
      <w:pPr>
        <w:pStyle w:val="pStyle"/>
      </w:pPr>
      <w:r>
        <w:rPr>
          <w:b w:val="1"/>
          <w:bCs w:val="1"/>
        </w:rPr>
        <w:t xml:space="preserve">Маршрут: </w:t>
      </w:r>
      <w:r>
        <w:rPr/>
        <w:t xml:space="preserve">Расстояние - 53км / время трекинга - 40 часов / высота подъемов и спусков - 8865м</w:t>
      </w:r>
    </w:p>
    <w:p>
      <w:pPr>
        <w:pStyle w:val="pStyle"/>
      </w:pPr>
      <w:r>
        <w:rPr>
          <w:b w:val="1"/>
          <w:bCs w:val="1"/>
        </w:rPr>
        <w:t xml:space="preserve">Стоимость тура: </w:t>
      </w:r>
      <w:r>
        <w:rPr/>
        <w:t xml:space="preserve">от 1824 $</w:t>
      </w:r>
    </w:p>
    <w:p/>
    <w:p>
      <w:pPr>
        <w:pStyle w:val="Heading2"/>
      </w:pPr>
      <w:bookmarkStart w:id="1" w:name="_Toc1"/>
      <w:r>
        <w:t>Описание тура</w:t>
      </w:r>
      <w:bookmarkEnd w:id="1"/>
    </w:p>
    <w:p>
      <w:pPr>
        <w:spacing w:after="100"/>
      </w:pPr>
      <w:r>
        <w:rPr>
          <w:sz w:val="24"/>
          <w:szCs w:val="24"/>
          <w:b w:val="1"/>
          <w:bCs w:val="1"/>
        </w:rPr>
        <w:t xml:space="preserve">День 1: Прилет в Арушу или Килиманджаро. Трансфер и размещение в базовом отеле для отдыха.</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Трансфер из аэропорта Килиманджаро (JRO) или из Аруши (ARK) в городок Моши (30 мин).</w:t>
            </w:r>
          </w:p>
          <w:p>
            <w:pPr>
              <w:spacing w:after="100"/>
            </w:pPr>
            <w:r>
              <w:rPr/>
              <w:t xml:space="preserve">Размещение в отеле.</w:t>
            </w:r>
          </w:p>
        </w:tc>
      </w:tr>
    </w:tbl>
    <w:p>
      <w:pPr>
        <w:spacing w:before="160"/>
      </w:pPr>
      <w:r>
        <w:rPr>
          <w:b w:val="1"/>
          <w:bCs w:val="1"/>
        </w:rPr>
        <w:t xml:space="preserve">Проживание: </w:t>
      </w:r>
      <w:r>
        <w:rPr/>
        <w:t xml:space="preserve">в базовом отеле</w:t>
      </w:r>
    </w:p>
    <w:p>
      <w:pPr/>
      <w:r>
        <w:rPr>
          <w:b w:val="1"/>
          <w:bCs w:val="1"/>
        </w:rPr>
        <w:t xml:space="preserve">Питание: </w:t>
      </w:r>
      <w:r>
        <w:rPr/>
        <w:t xml:space="preserve">Только завтрак</w:t>
      </w:r>
    </w:p>
    <w:p/>
    <w:p>
      <w:pPr>
        <w:spacing w:after="100"/>
      </w:pPr>
      <w:r>
        <w:rPr>
          <w:sz w:val="24"/>
          <w:szCs w:val="24"/>
          <w:b w:val="1"/>
          <w:bCs w:val="1"/>
        </w:rPr>
        <w:t xml:space="preserve">День 2: ворота Умбве (1800м) - лагерь Бивоуак (2940м) / подъем: 1140м / расстояние: 11 км / время в пути: 5-7 часов</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 Брифинг. Переезд к воротам Умбве мимо деревень с кофейными и банановыми плантациями. У ворот парка Вас встретят гид и носильщики. Регистрация. Вы начнете восхождение сквозь тропический лес между реками Лонзо и Умбве в окружении гигантских деревьев. Тропа постепенно становится круче, а вокруг Вас будут окружать виды глубоких ущелий и если Вам повезет с погодой, то Вам откроется вид величественного Килиманджаро. Вы разобьете лагерь в тени деревьев. Ужин. Ночлег.</w:t>
            </w:r>
          </w:p>
        </w:tc>
      </w:tr>
    </w:tbl>
    <w:p>
      <w:pPr>
        <w:spacing w:before="160"/>
      </w:pPr>
      <w:r>
        <w:rPr>
          <w:b w:val="1"/>
          <w:bCs w:val="1"/>
        </w:rPr>
        <w:t xml:space="preserve">Проживание: </w:t>
      </w:r>
      <w:r>
        <w:rPr/>
        <w:t xml:space="preserve">в палаточном лагере</w:t>
      </w:r>
    </w:p>
    <w:p>
      <w:pPr/>
      <w:r>
        <w:rPr>
          <w:b w:val="1"/>
          <w:bCs w:val="1"/>
        </w:rPr>
        <w:t xml:space="preserve">Питание: </w:t>
      </w:r>
      <w:r>
        <w:rPr/>
        <w:t xml:space="preserve">Полный пансион</w:t>
      </w:r>
    </w:p>
    <w:p/>
    <w:p>
      <w:pPr>
        <w:spacing w:after="100"/>
      </w:pPr>
      <w:r>
        <w:rPr>
          <w:sz w:val="24"/>
          <w:szCs w:val="24"/>
          <w:b w:val="1"/>
          <w:bCs w:val="1"/>
        </w:rPr>
        <w:t xml:space="preserve">День 3: лагерь Бивоуак (2940м) - лагерь Барранко (3950м) / подъем: 1010м / расстояние: 6км / время в пути: 6 часов</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Вскоре после того, как Вы покинете лагерь и продолжите восхождение, лес сменится скалами. А по мере приближения к долине Барранко тропа станет все более пологой. С хребта Умбве Вы постепенно спуститесь к Великой Стене Барранко, где разобьете лагерь.</w:t>
            </w:r>
          </w:p>
        </w:tc>
      </w:tr>
    </w:tbl>
    <w:p>
      <w:pPr>
        <w:spacing w:before="160"/>
      </w:pPr>
      <w:r>
        <w:rPr>
          <w:b w:val="1"/>
          <w:bCs w:val="1"/>
        </w:rPr>
        <w:t xml:space="preserve">Проживание: </w:t>
      </w:r>
      <w:r>
        <w:rPr/>
        <w:t xml:space="preserve">в палаточном лагере</w:t>
      </w:r>
    </w:p>
    <w:p>
      <w:pPr/>
      <w:r>
        <w:rPr>
          <w:b w:val="1"/>
          <w:bCs w:val="1"/>
        </w:rPr>
        <w:t xml:space="preserve">Питание: </w:t>
      </w:r>
      <w:r>
        <w:rPr/>
        <w:t xml:space="preserve">Полный пансион</w:t>
      </w:r>
    </w:p>
    <w:p/>
    <w:p>
      <w:pPr>
        <w:spacing w:after="100"/>
      </w:pPr>
      <w:r>
        <w:rPr>
          <w:sz w:val="24"/>
          <w:szCs w:val="24"/>
          <w:b w:val="1"/>
          <w:bCs w:val="1"/>
        </w:rPr>
        <w:t xml:space="preserve">День 4: лагерь Барранко (3950м) - Башня Лава (4630м) - лагерь Арроу Гласьер (4800м) / подъем: 850м / расстояние: 4км / время в пути: 4-5 часов</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После завтрака Вы начнете свой поход к Башне Лава, известной достопримечательностью Килиманджаро. Вам предстоит крутой и каменистый путь с видом на гору Меру. От Башни Лавы Вам предстоит взбираться по льду к лагерю, где Вы остановитесь на ночлег. Окружающая ранее растительность, исчезла полностью, обнажив скалы и осыпи различных оттенков коричневого и серого.</w:t>
            </w:r>
          </w:p>
        </w:tc>
      </w:tr>
    </w:tbl>
    <w:p>
      <w:pPr>
        <w:spacing w:before="160"/>
      </w:pPr>
      <w:r>
        <w:rPr>
          <w:b w:val="1"/>
          <w:bCs w:val="1"/>
        </w:rPr>
        <w:t xml:space="preserve">Проживание: </w:t>
      </w:r>
      <w:r>
        <w:rPr/>
        <w:t xml:space="preserve">в палаточном лагере</w:t>
      </w:r>
    </w:p>
    <w:p>
      <w:pPr/>
      <w:r>
        <w:rPr>
          <w:b w:val="1"/>
          <w:bCs w:val="1"/>
        </w:rPr>
        <w:t xml:space="preserve">Питание: </w:t>
      </w:r>
      <w:r>
        <w:rPr/>
        <w:t xml:space="preserve">Полный пансион</w:t>
      </w:r>
    </w:p>
    <w:p/>
    <w:p>
      <w:pPr>
        <w:spacing w:after="100"/>
      </w:pPr>
      <w:r>
        <w:rPr>
          <w:sz w:val="24"/>
          <w:szCs w:val="24"/>
          <w:b w:val="1"/>
          <w:bCs w:val="1"/>
        </w:rPr>
        <w:t xml:space="preserve">День 5: лагерь Арроу Гласьер (4800м) - кратер (5700м) / подъем: 900м / расстояние: 5 км / время в пути: 5 часов</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Сегодня Вам будет предстоять самый тяжелый день. После снегопада скалы могут покрыться льдом и без ледоруба и лыжных палок будет не обойтись. По достижении кратера Вы будете поражены видом снега и ледников, перед Вами предстанут во всей красе северные ледяные поля Килиманджаро. Пройдя через кратер Вы разобьете лагерь на его кромке. Вам предстоит очень холодная ночь, ведь Вы проведете ее во внутреннем кратере Килиманджаро.</w:t>
            </w:r>
          </w:p>
        </w:tc>
      </w:tr>
    </w:tbl>
    <w:p>
      <w:pPr>
        <w:spacing w:before="160"/>
      </w:pPr>
      <w:r>
        <w:rPr>
          <w:b w:val="1"/>
          <w:bCs w:val="1"/>
        </w:rPr>
        <w:t xml:space="preserve">Проживание: </w:t>
      </w:r>
      <w:r>
        <w:rPr/>
        <w:t xml:space="preserve">в палаточном лагере</w:t>
      </w:r>
    </w:p>
    <w:p>
      <w:pPr/>
      <w:r>
        <w:rPr>
          <w:b w:val="1"/>
          <w:bCs w:val="1"/>
        </w:rPr>
        <w:t xml:space="preserve">Питание: </w:t>
      </w:r>
      <w:r>
        <w:rPr/>
        <w:t xml:space="preserve">Полный пансион</w:t>
      </w:r>
    </w:p>
    <w:p/>
    <w:p>
      <w:pPr>
        <w:spacing w:after="100"/>
      </w:pPr>
      <w:r>
        <w:rPr>
          <w:sz w:val="24"/>
          <w:szCs w:val="24"/>
          <w:b w:val="1"/>
          <w:bCs w:val="1"/>
        </w:rPr>
        <w:t xml:space="preserve">День 6: кратер (5700м) - вершина Ухуру (5895м) - лагерь Мвека (3100м) / подъем: 195м / спуск: 2795м / расстояние: 12км  / время в пути: 4-6 часов</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Ранний подъем (около 04.00). Легкий завтрак. В этот день Вас ждет самая захватывающая часть восхождения. Через 2 часа Вам предстоит покорить вершину Ухуру (вершину Африки). Время, которое Вы проведете на вершине, будет зависеть от погодных условий. После небольшого отдыха и фотографий на память Вы приступите к спуску в лагерь Барафу (3 часа), где немного передохнете перед тем, как спуститься в лагерь Мвека (3100м). Это нетрудный и относительно пологий спуск, который приведет Вас обратно в тропический лес, где Вы и останетесь на ночлег.</w:t>
            </w:r>
          </w:p>
        </w:tc>
      </w:tr>
    </w:tbl>
    <w:p>
      <w:pPr>
        <w:spacing w:before="160"/>
      </w:pPr>
      <w:r>
        <w:rPr>
          <w:b w:val="1"/>
          <w:bCs w:val="1"/>
        </w:rPr>
        <w:t xml:space="preserve">Проживание: </w:t>
      </w:r>
      <w:r>
        <w:rPr/>
        <w:t xml:space="preserve">в палаточном лагере</w:t>
      </w:r>
    </w:p>
    <w:p>
      <w:pPr/>
      <w:r>
        <w:rPr>
          <w:b w:val="1"/>
          <w:bCs w:val="1"/>
        </w:rPr>
        <w:t xml:space="preserve">Питание: </w:t>
      </w:r>
      <w:r>
        <w:rPr/>
        <w:t xml:space="preserve">Полный пансион</w:t>
      </w:r>
    </w:p>
    <w:p/>
    <w:p>
      <w:pPr>
        <w:spacing w:after="100"/>
      </w:pPr>
      <w:r>
        <w:rPr>
          <w:sz w:val="24"/>
          <w:szCs w:val="24"/>
          <w:b w:val="1"/>
          <w:bCs w:val="1"/>
        </w:rPr>
        <w:t xml:space="preserve">День 7: лагерь Мвека (3100м) - ворота Мвека (1980м) / спуск: 1120м / расстояние: 10 км/ время в пути: 3-4 часа</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После завтрака, пологий 5-ти часовой спуск ведет Вас вниз через джунгли к воротам Национального Парка. Здесь Вы получите сертификаты, передохнете и пойдете в деревушку Мвека (3 км), откуда водитель отвезет Вас в отель в Моши.</w:t>
            </w:r>
          </w:p>
        </w:tc>
      </w:tr>
    </w:tbl>
    <w:p/>
    <w:p>
      <w:pPr>
        <w:spacing w:after="100"/>
      </w:pPr>
      <w:r>
        <w:rPr>
          <w:sz w:val="24"/>
          <w:szCs w:val="24"/>
          <w:b w:val="1"/>
          <w:bCs w:val="1"/>
        </w:rPr>
        <w:t xml:space="preserve">День 8: Трансфер в аэропорт Аруши или Килиманджаро для вылета.</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 Трансфер в аэропорт Аруши (ARK) или Килиманджаро (JRO) для вылета.</w:t>
            </w:r>
          </w:p>
        </w:tc>
      </w:tr>
    </w:tbl>
    <w:p/>
    <w:p>
      <w:pPr>
        <w:pStyle w:val="Heading2"/>
      </w:pPr>
      <w:bookmarkStart w:id="2" w:name="_Toc2"/>
      <w:r>
        <w:t>Цены тура «Маршрут Umbwe»</w:t>
      </w:r>
      <w:bookmarkEnd w:id="2"/>
    </w:p>
    <w:p>
      <w:pPr/>
      <w:r>
        <w:rPr>
          <w:b w:val="1"/>
          <w:bCs w:val="1"/>
        </w:rPr>
        <w:t xml:space="preserve">Стоимость тура за одного человека</w:t>
      </w:r>
    </w:p>
    <w:p/>
    <w:tbl>
      <w:tblGrid>
        <w:gridCol w:w="5102.3622047244089117157272994518280029296875" w:type="dxa"/>
        <w:gridCol w:w="1984.2519685039369505830109119415283203125" w:type="dxa"/>
        <w:gridCol w:w="1984.2519685039369505830109119415283203125" w:type="dxa"/>
      </w:tblGrid>
      <w:tblPr>
        <w:tblStyle w:val="PriceTable"/>
      </w:tblPr>
      <w:tr>
        <w:trPr/>
        <w:tc>
          <w:tcPr>
            <w:tcW w:w="9070.866141732281903387047350406646728515625" w:type="dxa"/>
            <w:vAlign w:val="center"/>
            <w:shd w:val="clear" w:fill="F2F2F2"/>
            <w:gridSpan w:val="3"/>
            <w:noWrap/>
          </w:tcPr>
          <w:p>
            <w:pPr/>
            <w:r>
              <w:rPr>
                <w:b w:val="1"/>
                <w:bCs w:val="1"/>
              </w:rPr>
              <w:t xml:space="preserve">Количество человек в группе</w:t>
            </w:r>
          </w:p>
        </w:tc>
      </w:tr>
      <w:tr>
        <w:trPr/>
        <w:tc>
          <w:tcPr>
            <w:tcW w:w="5102.3622047244089117157272994518280029296875" w:type="dxa"/>
            <w:noWrap/>
          </w:tcPr>
          <w:p>
            <w:pPr/>
            <w:r>
              <w:rPr>
                <w:b w:val="1"/>
                <w:bCs w:val="1"/>
              </w:rPr>
              <w:t xml:space="preserve">Наименование</w:t>
            </w:r>
          </w:p>
        </w:tc>
        <w:tc>
          <w:tcPr>
            <w:tcW w:w="1984.2519685039369505830109119415283203125" w:type="dxa"/>
            <w:noWrap/>
          </w:tcPr>
          <w:p>
            <w:pPr>
              <w:pStyle w:val="pCenter"/>
            </w:pPr>
            <w:r>
              <w:rPr>
                <w:b w:val="1"/>
                <w:bCs w:val="1"/>
              </w:rPr>
              <w:t xml:space="preserve">SNGL</w:t>
            </w:r>
          </w:p>
        </w:tc>
        <w:tc>
          <w:tcPr>
            <w:tcW w:w="1984.2519685039369505830109119415283203125" w:type="dxa"/>
            <w:noWrap/>
          </w:tcPr>
          <w:p>
            <w:pPr>
              <w:pStyle w:val="pCenter"/>
            </w:pPr>
            <w:r>
              <w:rPr>
                <w:b w:val="1"/>
                <w:bCs w:val="1"/>
              </w:rPr>
              <w:t xml:space="preserve">DBL</w:t>
            </w:r>
          </w:p>
        </w:tc>
      </w:tr>
      <w:tr>
        <w:trPr/>
        <w:tc>
          <w:tcPr>
            <w:vAlign w:val="center"/>
            <w:noWrap/>
          </w:tcPr>
          <w:p>
            <w:pPr/>
            <w:r>
              <w:rPr/>
              <w:t xml:space="preserve">1 чел.</w:t>
            </w:r>
          </w:p>
        </w:tc>
        <w:tc>
          <w:tcPr>
            <w:vAlign w:val="center"/>
            <w:noWrap/>
          </w:tcPr>
          <w:p>
            <w:pPr>
              <w:pStyle w:val="pRight"/>
            </w:pPr>
            <w:r>
              <w:rPr/>
              <w:t xml:space="preserve">2 622 $</w:t>
            </w:r>
          </w:p>
        </w:tc>
        <w:tc>
          <w:tcPr>
            <w:vAlign w:val="center"/>
            <w:noWrap/>
          </w:tcPr>
          <w:p>
            <w:pPr>
              <w:pStyle w:val="pRight"/>
            </w:pPr>
            <w:r>
              <w:rPr/>
              <w:t xml:space="preserve">2 526 $</w:t>
            </w:r>
          </w:p>
        </w:tc>
      </w:tr>
      <w:tr>
        <w:trPr/>
        <w:tc>
          <w:tcPr>
            <w:vAlign w:val="center"/>
            <w:noWrap/>
          </w:tcPr>
          <w:p>
            <w:pPr/>
            <w:r>
              <w:rPr/>
              <w:t xml:space="preserve">2 чел.</w:t>
            </w:r>
          </w:p>
        </w:tc>
        <w:tc>
          <w:tcPr>
            <w:vAlign w:val="center"/>
            <w:noWrap/>
          </w:tcPr>
          <w:p>
            <w:pPr>
              <w:pStyle w:val="pRight"/>
            </w:pPr>
            <w:r>
              <w:rPr/>
              <w:t xml:space="preserve">2 310 $</w:t>
            </w:r>
          </w:p>
        </w:tc>
        <w:tc>
          <w:tcPr>
            <w:vAlign w:val="center"/>
            <w:noWrap/>
          </w:tcPr>
          <w:p>
            <w:pPr>
              <w:pStyle w:val="pRight"/>
            </w:pPr>
            <w:r>
              <w:rPr/>
              <w:t xml:space="preserve">2 214 $</w:t>
            </w:r>
          </w:p>
        </w:tc>
      </w:tr>
      <w:tr>
        <w:trPr/>
        <w:tc>
          <w:tcPr>
            <w:vAlign w:val="center"/>
            <w:noWrap/>
          </w:tcPr>
          <w:p>
            <w:pPr/>
            <w:r>
              <w:rPr/>
              <w:t xml:space="preserve">3 чел.</w:t>
            </w:r>
          </w:p>
        </w:tc>
        <w:tc>
          <w:tcPr>
            <w:vAlign w:val="center"/>
            <w:noWrap/>
          </w:tcPr>
          <w:p>
            <w:pPr>
              <w:pStyle w:val="pRight"/>
            </w:pPr>
            <w:r>
              <w:rPr/>
              <w:t xml:space="preserve">2 202 $</w:t>
            </w:r>
          </w:p>
        </w:tc>
        <w:tc>
          <w:tcPr>
            <w:vAlign w:val="center"/>
            <w:noWrap/>
          </w:tcPr>
          <w:p>
            <w:pPr>
              <w:pStyle w:val="pRight"/>
            </w:pPr>
            <w:r>
              <w:rPr/>
              <w:t xml:space="preserve">2 106 $</w:t>
            </w:r>
          </w:p>
        </w:tc>
      </w:tr>
      <w:tr>
        <w:trPr/>
        <w:tc>
          <w:tcPr>
            <w:vAlign w:val="center"/>
            <w:noWrap/>
          </w:tcPr>
          <w:p>
            <w:pPr/>
            <w:r>
              <w:rPr/>
              <w:t xml:space="preserve">4 чел.</w:t>
            </w:r>
          </w:p>
        </w:tc>
        <w:tc>
          <w:tcPr>
            <w:vAlign w:val="center"/>
            <w:noWrap/>
          </w:tcPr>
          <w:p>
            <w:pPr>
              <w:pStyle w:val="pRight"/>
            </w:pPr>
            <w:r>
              <w:rPr/>
              <w:t xml:space="preserve">1 950 $</w:t>
            </w:r>
          </w:p>
        </w:tc>
        <w:tc>
          <w:tcPr>
            <w:vAlign w:val="center"/>
            <w:noWrap/>
          </w:tcPr>
          <w:p>
            <w:pPr>
              <w:pStyle w:val="pRight"/>
            </w:pPr>
            <w:r>
              <w:rPr/>
              <w:t xml:space="preserve">1 854 $</w:t>
            </w:r>
          </w:p>
        </w:tc>
      </w:tr>
      <w:tr>
        <w:trPr/>
        <w:tc>
          <w:tcPr>
            <w:vAlign w:val="center"/>
            <w:noWrap/>
          </w:tcPr>
          <w:p>
            <w:pPr/>
            <w:r>
              <w:rPr/>
              <w:t xml:space="preserve">5 чел.</w:t>
            </w:r>
          </w:p>
        </w:tc>
        <w:tc>
          <w:tcPr>
            <w:vAlign w:val="center"/>
            <w:noWrap/>
          </w:tcPr>
          <w:p>
            <w:pPr>
              <w:pStyle w:val="pRight"/>
            </w:pPr>
            <w:r>
              <w:rPr/>
              <w:t xml:space="preserve">1 920 $</w:t>
            </w:r>
          </w:p>
        </w:tc>
        <w:tc>
          <w:tcPr>
            <w:vAlign w:val="center"/>
            <w:noWrap/>
          </w:tcPr>
          <w:p>
            <w:pPr>
              <w:pStyle w:val="pRight"/>
            </w:pPr>
            <w:r>
              <w:rPr/>
              <w:t xml:space="preserve">1 824 $</w:t>
            </w:r>
          </w:p>
        </w:tc>
      </w:tr>
    </w:tbl>
    <w:p>
      <w:pPr>
        <w:pStyle w:val="Heading3"/>
      </w:pPr>
      <w:bookmarkStart w:id="3" w:name="_Toc3"/>
      <w:r>
        <w:t>В стоимость тура включено:</w:t>
      </w:r>
      <w:bookmarkEnd w:id="3"/>
    </w:p>
    <w:p>
      <w:pPr>
        <w:pStyle w:val="listTight"/>
        <w:numPr>
          <w:ilvl w:val="0"/>
          <w:numId w:val="10"/>
        </w:numPr>
      </w:pPr>
      <w:r>
        <w:rPr/>
        <w:t xml:space="preserve">Медицинская страховка    </w:t>
      </w:r>
    </w:p>
    <w:p>
      <w:pPr>
        <w:pStyle w:val="listTight"/>
        <w:numPr>
          <w:ilvl w:val="0"/>
          <w:numId w:val="10"/>
        </w:numPr>
      </w:pPr>
      <w:r>
        <w:rPr/>
        <w:t xml:space="preserve">Транспортное и экскурсионное обслуживание по программе с англоговорящим гидом </w:t>
      </w:r>
    </w:p>
    <w:p>
      <w:pPr>
        <w:pStyle w:val="listTight"/>
        <w:numPr>
          <w:ilvl w:val="0"/>
          <w:numId w:val="10"/>
        </w:numPr>
      </w:pPr>
      <w:r>
        <w:rPr/>
        <w:t xml:space="preserve">Проживание и питание по программе    </w:t>
      </w:r>
    </w:p>
    <w:p>
      <w:pPr>
        <w:pStyle w:val="Heading3"/>
      </w:pPr>
      <w:bookmarkStart w:id="4" w:name="_Toc4"/>
      <w:r>
        <w:t>Оплачивается дополнительно:</w:t>
      </w:r>
      <w:bookmarkEnd w:id="4"/>
    </w:p>
    <w:p>
      <w:pPr>
        <w:pStyle w:val="listTight"/>
        <w:numPr>
          <w:ilvl w:val="0"/>
          <w:numId w:val="10"/>
        </w:numPr>
      </w:pPr>
      <w:r>
        <w:rPr/>
        <w:t xml:space="preserve">Чаевые и расходы личного характера</w:t>
      </w:r>
    </w:p>
    <w:p>
      <w:pPr>
        <w:pStyle w:val="listTight"/>
        <w:numPr>
          <w:ilvl w:val="0"/>
          <w:numId w:val="10"/>
        </w:numPr>
      </w:pPr>
      <w:r>
        <w:rPr/>
        <w:t xml:space="preserve">Международный перелет </w:t>
      </w:r>
    </w:p>
    <w:p>
      <w:pPr>
        <w:pStyle w:val="listTight"/>
        <w:numPr>
          <w:ilvl w:val="0"/>
          <w:numId w:val="10"/>
        </w:numPr>
      </w:pPr>
      <w:r>
        <w:rPr/>
        <w:t xml:space="preserve">Внутренние перелеты    </w:t>
      </w:r>
    </w:p>
    <w:p>
      <w:pPr>
        <w:pStyle w:val="listTight"/>
        <w:numPr>
          <w:ilvl w:val="0"/>
          <w:numId w:val="10"/>
        </w:numPr>
      </w:pPr>
      <w:r>
        <w:rPr/>
        <w:t xml:space="preserve">Визовый сбор</w:t>
      </w:r>
    </w:p>
    <w:p/>
    <w:p>
      <w:pPr>
        <w:pStyle w:val="pStyle"/>
      </w:pPr>
      <w:r>
        <w:rPr/>
        <w:t xml:space="preserve">Телефон для заказа: +7(925) 514-83-53</w:t>
      </w:r>
    </w:p>
    <w:p>
      <w:pPr>
        <w:pStyle w:val="pStyle"/>
      </w:pPr>
      <w:r>
        <w:rPr/>
        <w:t xml:space="preserve">E-mail: info@wildtrek.ru</w:t>
      </w:r>
    </w:p>
    <w:sectPr>
      <w:pgSz w:orient="portrait" w:w="11905.511811023621703498065471649169921875" w:h="16837.7952755905498634092509746551513671875"/>
      <w:pgMar w:top="1133.858267716535237923380918800830841064453125" w:right="1133.858267716535237923380918800830841064453125" w:bottom="1133.858267716535237923380918800830841064453125" w:left="1133.8582677165352379233809188008308410644531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nsid w:val="ED4E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360"/>
    </w:pPr>
    <w:rPr>
      <w:sz w:val="44"/>
      <w:szCs w:val="44"/>
      <w:b w:val="1"/>
      <w:bCs w:val="1"/>
    </w:rPr>
  </w:style>
  <w:style w:type="paragraph" w:styleId="Heading2">
    <w:link w:val="Heading2Char"/>
    <w:name w:val="heading 2"/>
    <w:basedOn w:val="Normal"/>
    <w:pPr>
      <w:spacing w:before="400" w:after="280"/>
    </w:pPr>
    <w:rPr>
      <w:sz w:val="32"/>
      <w:szCs w:val="32"/>
      <w:b w:val="1"/>
      <w:bCs w:val="1"/>
    </w:rPr>
  </w:style>
  <w:style w:type="paragraph" w:styleId="Heading3">
    <w:link w:val="Heading3Char"/>
    <w:name w:val="heading 3"/>
    <w:basedOn w:val="Normal"/>
    <w:pPr>
      <w:spacing w:before="320" w:after="200"/>
    </w:pPr>
    <w:rPr>
      <w:sz w:val="28"/>
      <w:szCs w:val="28"/>
      <w:b w:val="1"/>
      <w:bCs w:val="1"/>
    </w:rPr>
  </w:style>
  <w:style w:type="paragraph" w:customStyle="1" w:styleId="pStyle">
    <w:name w:val="pStyle"/>
    <w:basedOn w:val="Normal"/>
    <w:pPr>
      <w:spacing w:after="0" w:line="240" w:lineRule="auto"/>
    </w:pPr>
  </w:style>
  <w:style w:type="paragraph" w:customStyle="1" w:styleId="pCenter">
    <w:name w:val="pCenter"/>
    <w:basedOn w:val="Normal"/>
    <w:pPr>
      <w:jc w:val="center"/>
      <w:spacing w:line="240" w:lineRule="auto"/>
    </w:pPr>
  </w:style>
  <w:style w:type="paragraph" w:customStyle="1" w:styleId="pRight">
    <w:name w:val="pRight"/>
    <w:basedOn w:val="Normal"/>
    <w:pPr>
      <w:jc w:val="end"/>
      <w:spacing w:line="240" w:lineRule="auto"/>
    </w:pPr>
  </w:style>
  <w:style w:type="table" w:customStyle="1" w:styleId="PriceTable">
    <w:name w:val="PriceTable"/>
    <w:uiPriority w:val="99"/>
    <w:tblPr>
      <w:tblW w:w="0" w:type="auto"/>
      <w:tblLayout w:type="autofit"/>
      <w:tblCellMar>
        <w:top w:w="100" w:type="dxa"/>
        <w:left w:w="100" w:type="dxa"/>
        <w:right w:w="100" w:type="dxa"/>
        <w:bottom w:w="100" w:type="dxa"/>
      </w:tblCellMar>
      <w:tblBorders>
        <w:top w:val="single" w:sz="6" w:color="999999"/>
        <w:left w:val="single" w:sz="6" w:color="999999"/>
        <w:right w:val="single" w:sz="6" w:color="999999"/>
        <w:bottom w:val="single" w:sz="6" w:color="999999"/>
        <w:insideH w:val="single" w:sz="6" w:color="999999"/>
        <w:insideV w:val="single" w:sz="6" w:color="999999"/>
      </w:tblBorders>
    </w:tblPr>
  </w:style>
  <w:style w:type="paragraph" w:customStyle="1" w:styleId="pTight">
    <w:name w:val="pTight"/>
    <w:basedOn w:val="Normal"/>
    <w:pPr>
      <w:spacing w:before="0" w:after="0" w:line="240" w:lineRule="auto"/>
    </w:pPr>
  </w:style>
  <w:style w:type="paragraph" w:customStyle="1" w:styleId="listTight">
    <w:name w:val="listTight"/>
    <w:basedOn w:val="Normal"/>
    <w:pPr>
      <w:ind w:left="283.46456692913380948084522970020771026611328125" w:right="0" w:firstLine="0" w:hanging="0"/>
      <w:spacing w:before="0"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2026-07-14T18:20:05+03:00</dcterms:created>
  <dcterms:modified xsi:type="dcterms:W3CDTF">2026-07-14T18:20:05+03:00</dcterms:modified>
</cp:coreProperties>
</file>

<file path=docProps/custom.xml><?xml version="1.0" encoding="utf-8"?>
<Properties xmlns="http://schemas.openxmlformats.org/officeDocument/2006/custom-properties" xmlns:vt="http://schemas.openxmlformats.org/officeDocument/2006/docPropsVTypes"/>
</file>