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Маршрут Marangu</w:t>
      </w:r>
      <w:bookmarkEnd w:id="0"/>
    </w:p>
    <w:p/>
    <w:p>
      <w:pPr>
        <w:pStyle w:val="pStyle"/>
      </w:pPr>
      <w:r>
        <w:rPr>
          <w:b w:val="1"/>
          <w:bCs w:val="1"/>
        </w:rPr>
        <w:t xml:space="preserve">Даты тура: </w:t>
      </w:r>
    </w:p>
    <w:p>
      <w:pPr>
        <w:pStyle w:val="pStyle"/>
      </w:pPr>
      <w:r>
        <w:rPr>
          <w:b w:val="1"/>
          <w:bCs w:val="1"/>
        </w:rPr>
        <w:t xml:space="preserve">Страна: </w:t>
      </w:r>
      <w:r>
        <w:rPr/>
        <w:t xml:space="preserve">Танзания</w:t>
      </w:r>
    </w:p>
    <w:p>
      <w:pPr>
        <w:pStyle w:val="pStyle"/>
      </w:pPr>
      <w:r>
        <w:rPr>
          <w:b w:val="1"/>
          <w:bCs w:val="1"/>
        </w:rPr>
        <w:t xml:space="preserve">Маршрут: </w:t>
      </w:r>
      <w:r>
        <w:rPr/>
        <w:t xml:space="preserve">Расстояние - 69км / время трекинга - 39 часов / высота подъемов и спусков - 8865м</w:t>
      </w:r>
    </w:p>
    <w:p>
      <w:pPr>
        <w:pStyle w:val="pStyle"/>
      </w:pPr>
      <w:r>
        <w:rPr>
          <w:b w:val="1"/>
          <w:bCs w:val="1"/>
        </w:rPr>
        <w:t xml:space="preserve">Стоимость тура: </w:t>
      </w:r>
      <w:r>
        <w:rPr/>
        <w:t xml:space="preserve">от 1782 $</w:t>
      </w:r>
    </w:p>
    <w:p/>
    <w:p>
      <w:pPr>
        <w:pStyle w:val="Heading2"/>
      </w:pPr>
      <w:bookmarkStart w:id="1" w:name="_Toc1"/>
      <w:r>
        <w:t>Описание тура</w:t>
      </w:r>
      <w:bookmarkEnd w:id="1"/>
    </w:p>
    <w:p>
      <w:pPr>
        <w:spacing w:after="100"/>
      </w:pPr>
      <w:r>
        <w:rPr>
          <w:sz w:val="24"/>
          <w:szCs w:val="24"/>
          <w:b w:val="1"/>
          <w:bCs w:val="1"/>
        </w:rPr>
        <w:t xml:space="preserve">День 1: Прибытие в Килиманджаро или Арушу. Трансфер и размещение в отеле в Моши.</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Трансфер из аэропорта Килиманджаро (JRO) или из Аруши (ARK) в городок Моши (30 мин).</w:t>
            </w:r>
          </w:p>
          <w:p>
            <w:pPr>
              <w:spacing w:after="100"/>
            </w:pPr>
            <w:r>
              <w:rPr/>
              <w:t xml:space="preserve">Размещение в отеле.</w:t>
            </w:r>
          </w:p>
        </w:tc>
      </w:tr>
    </w:tbl>
    <w:p>
      <w:pPr>
        <w:spacing w:before="160"/>
      </w:pPr>
      <w:r>
        <w:rPr>
          <w:b w:val="1"/>
          <w:bCs w:val="1"/>
        </w:rPr>
        <w:t xml:space="preserve">Проживание: </w:t>
      </w:r>
      <w:r>
        <w:rPr/>
        <w:t xml:space="preserve">в базовом отеле в Моши</w:t>
      </w:r>
    </w:p>
    <w:p>
      <w:pPr/>
      <w:r>
        <w:rPr>
          <w:b w:val="1"/>
          <w:bCs w:val="1"/>
        </w:rPr>
        <w:t xml:space="preserve">Питание: </w:t>
      </w:r>
      <w:r>
        <w:rPr/>
        <w:t xml:space="preserve">Только завтрак</w:t>
      </w:r>
    </w:p>
    <w:p/>
    <w:p>
      <w:pPr>
        <w:spacing w:after="100"/>
      </w:pPr>
      <w:r>
        <w:rPr>
          <w:sz w:val="24"/>
          <w:szCs w:val="24"/>
          <w:b w:val="1"/>
          <w:bCs w:val="1"/>
        </w:rPr>
        <w:t xml:space="preserve">День 2: ворота Марангу (1860м) - хижина Мандара (2720м) / время восхождения: 3-4 часа / примерное расстояние: 7 км / подъем: 835 метров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Трансфер к воротам в Национальный Парк Килиманджаро (50 минут). После регистрации и финальных приготовлений туристы начинают восхождение. На всем протяжении маршрута с туристами будут: профессиональный африканский гид, помощник гида, повар и носильщики. Вы проследуете через густой тропический лес, где обитает множество диких животных.</w:t>
            </w:r>
          </w:p>
          <w:p>
            <w:pPr>
              <w:spacing w:after="100"/>
            </w:pPr>
            <w:r>
              <w:rPr/>
              <w:t xml:space="preserve">Хижины Мандара представляют собой несколько деревянных каркасных хижин, в каждой из которых 6 спальных мест (для спальных мешков).</w:t>
            </w:r>
          </w:p>
        </w:tc>
      </w:tr>
    </w:tbl>
    <w:p>
      <w:pPr>
        <w:spacing w:before="160"/>
      </w:pPr>
      <w:r>
        <w:rPr>
          <w:b w:val="1"/>
          <w:bCs w:val="1"/>
        </w:rPr>
        <w:t xml:space="preserve">Проживание: </w:t>
      </w:r>
      <w:r>
        <w:rPr/>
        <w:t xml:space="preserve">в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3: хижина Мандара (2720м) – хижина Хоромбо (3720м) / время восхождения: 5-6 часов / примерное расстояние: 11 км /  подъем: 1000м</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От хижины Мандара тропа проходит через небольшой участок леса, огибает основание кратера Маунди и выводит Вас к болотам, поросшим эндемичными растениями. Откуда впервые (в ясную погоду) Вашему взору откроется вид на величественный кратер Кибо.</w:t>
            </w:r>
          </w:p>
          <w:p>
            <w:pPr>
              <w:spacing w:after="100"/>
            </w:pPr>
            <w:r>
              <w:rPr/>
              <w:t xml:space="preserve">Через 6 часов восхождения Вы придете в хижины Хоромбо, где Вас будет ждать горячая вода и ужин.</w:t>
            </w:r>
          </w:p>
        </w:tc>
      </w:tr>
    </w:tbl>
    <w:p>
      <w:pPr>
        <w:spacing w:before="160"/>
      </w:pPr>
      <w:r>
        <w:rPr>
          <w:b w:val="1"/>
          <w:bCs w:val="1"/>
        </w:rPr>
        <w:t xml:space="preserve">Проживание: </w:t>
      </w:r>
      <w:r>
        <w:rPr/>
        <w:t xml:space="preserve">в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4: Акклиматизационный день / хижина Хоромбо (3720м) / расстояние: 5-8 км / подъем-спуск: 800м / время: 3 часа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Лагерь Хоромбо раскинулся на небольшом плато. Здесь Вы встретите множество туристов, гидов и носильщиков, которые совершают восхождение или спуск.</w:t>
            </w:r>
          </w:p>
          <w:p>
            <w:pPr>
              <w:spacing w:after="100"/>
            </w:pPr>
            <w:r>
              <w:rPr/>
              <w:t xml:space="preserve">В этот день, предназначенный для акклиматизации, Вы сможете насладиться царящей здесь атмосферой приключений и азарта. Рекомендуем так же совершить поход к хижине Мавензи, преодолевая по пути скалы Зебра (примерно 3 часа вверх и 1,5 часа вниз). Этот поход так же будет способствовать процессу акклиматизации.</w:t>
            </w:r>
          </w:p>
          <w:p>
            <w:pPr>
              <w:spacing w:after="100"/>
            </w:pPr>
            <w:r>
              <w:rPr/>
              <w:t xml:space="preserve">Не забывайте так же много пить и медленно двигаться и рано лечь спать, чтобы набраться сил для дальнейшего восхождения.</w:t>
            </w:r>
          </w:p>
        </w:tc>
      </w:tr>
    </w:tbl>
    <w:p>
      <w:pPr>
        <w:spacing w:before="160"/>
      </w:pPr>
      <w:r>
        <w:rPr>
          <w:b w:val="1"/>
          <w:bCs w:val="1"/>
        </w:rPr>
        <w:t xml:space="preserve">Проживание: </w:t>
      </w:r>
      <w:r>
        <w:rPr/>
        <w:t xml:space="preserve">в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5: хижина Хоромбо (3720м) – хижина Кибо (4703м)  / время восхождения: 5-6 часов / примерное расстояние: 12 км / подъем: 983м</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Сегодня Вы продолжите свое восхождение по скалистой местности, оставив позади последний водный источник. Когда Вы достигнете лагеря Кибо, от вершины Вас будет отделять всего 1195 метров, которые Вы преодолеете уже этой ночью. Приготовления к покорению вершины. Ранний отбой (около 19.00).</w:t>
            </w:r>
          </w:p>
        </w:tc>
      </w:tr>
    </w:tbl>
    <w:p>
      <w:pPr>
        <w:spacing w:before="160"/>
      </w:pPr>
      <w:r>
        <w:rPr>
          <w:b w:val="1"/>
          <w:bCs w:val="1"/>
        </w:rPr>
        <w:t xml:space="preserve">Проживание: </w:t>
      </w:r>
      <w:r>
        <w:rPr/>
        <w:t xml:space="preserve">в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6: хижина Кибо (4703м) – вершина Ухуру (5895м) – хижина Хоромбо (3720м) / время восхождения и спуска: 12-14 часов / примерное расстояние:  21 км / подъем: 1192м / спуск: 2175м</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Подъем в 23.30, легкий завтрак. Вам предстоит преодолеть самую тяжелую часть восхождения, которая требует наибольшего количества физических усилий. Начиная с пика Гилманс, Вам придется по снегу и тяжелым осыпям взбираться к вершине. На досках, которыми отмечена высшая точка Африки, написано: «Поздравляем! Вы находитесь на вершине Ухуру». Время, которое Вы проведете на вершине, будет зависеть от погодных условий. После непродолжительного отдыха и фотографирования Вы начнете спускаться к хижине Кибо, где забираете оставленное накануне снаряжение. А после обеда продолжаете спуск к хижине Хоромбо для ночлега.</w:t>
            </w:r>
          </w:p>
        </w:tc>
      </w:tr>
    </w:tbl>
    <w:p>
      <w:pPr>
        <w:spacing w:before="160"/>
      </w:pPr>
      <w:r>
        <w:rPr>
          <w:b w:val="1"/>
          <w:bCs w:val="1"/>
        </w:rPr>
        <w:t xml:space="preserve">Проживание: </w:t>
      </w:r>
      <w:r>
        <w:rPr/>
        <w:t xml:space="preserve">в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7: хижина Хоромбо (3720м) – ворота Марангу (1860м) / время спуска: 5-6 часов / примерное расстояние: 18 км / спуск: 1880м</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После завтрака, пологий спуск ведет Вас внизчерез джунгли в хижину Мандара. Спуск продолжается через тропический лес к воротам Национального Парка. Получение сертификатов. Трансфер на автомобиле в отель в Моши.</w:t>
            </w:r>
          </w:p>
        </w:tc>
      </w:tr>
    </w:tbl>
    <w:p>
      <w:pPr>
        <w:spacing w:before="160"/>
      </w:pPr>
      <w:r>
        <w:rPr>
          <w:b w:val="1"/>
          <w:bCs w:val="1"/>
        </w:rPr>
        <w:t xml:space="preserve">Проживание: </w:t>
      </w:r>
      <w:r>
        <w:rPr/>
        <w:t xml:space="preserve">в отеле в Моши</w:t>
      </w:r>
    </w:p>
    <w:p>
      <w:pPr/>
      <w:r>
        <w:rPr>
          <w:b w:val="1"/>
          <w:bCs w:val="1"/>
        </w:rPr>
        <w:t xml:space="preserve">Питание: </w:t>
      </w:r>
      <w:r>
        <w:rPr/>
        <w:t xml:space="preserve">Только завтрак</w:t>
      </w:r>
    </w:p>
    <w:p/>
    <w:p>
      <w:pPr>
        <w:spacing w:after="100"/>
      </w:pPr>
      <w:r>
        <w:rPr>
          <w:sz w:val="24"/>
          <w:szCs w:val="24"/>
          <w:b w:val="1"/>
          <w:bCs w:val="1"/>
        </w:rPr>
        <w:t xml:space="preserve">День 8: Трансфер в аэропорт.</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Трансфер в аэропорт Аруши (ARK)  или Килиманджаро (JRO).</w:t>
            </w:r>
          </w:p>
        </w:tc>
      </w:tr>
    </w:tbl>
    <w:p/>
    <w:p>
      <w:pPr>
        <w:pStyle w:val="Heading2"/>
      </w:pPr>
      <w:bookmarkStart w:id="2" w:name="_Toc2"/>
      <w:r>
        <w:t>Цены тура «Маршрут Marangu»</w:t>
      </w:r>
      <w:bookmarkEnd w:id="2"/>
    </w:p>
    <w:p>
      <w:pPr/>
      <w:r>
        <w:rPr>
          <w:b w:val="1"/>
          <w:bCs w:val="1"/>
        </w:rPr>
        <w:t xml:space="preserve">Стоимость тура за одного человека</w:t>
      </w:r>
    </w:p>
    <w:p/>
    <w:tbl>
      <w:tblGrid>
        <w:gridCol w:w="5102.3622047244089117157272994518280029296875" w:type="dxa"/>
        <w:gridCol w:w="1984.2519685039369505830109119415283203125" w:type="dxa"/>
        <w:gridCol w:w="1984.2519685039369505830109119415283203125" w:type="dxa"/>
      </w:tblGrid>
      <w:tblPr>
        <w:tblStyle w:val="PriceTable"/>
      </w:tblPr>
      <w:tr>
        <w:trPr/>
        <w:tc>
          <w:tcPr>
            <w:tcW w:w="9070.866141732281903387047350406646728515625" w:type="dxa"/>
            <w:vAlign w:val="center"/>
            <w:shd w:val="clear" w:fill="F2F2F2"/>
            <w:gridSpan w:val="3"/>
            <w:noWrap/>
          </w:tcPr>
          <w:p>
            <w:pPr/>
            <w:r>
              <w:rPr>
                <w:b w:val="1"/>
                <w:bCs w:val="1"/>
              </w:rPr>
              <w:t xml:space="preserve">Количество человек в группе</w:t>
            </w:r>
          </w:p>
        </w:tc>
      </w:tr>
      <w:tr>
        <w:trPr/>
        <w:tc>
          <w:tcPr>
            <w:tcW w:w="5102.3622047244089117157272994518280029296875" w:type="dxa"/>
            <w:noWrap/>
          </w:tcPr>
          <w:p>
            <w:pPr/>
            <w:r>
              <w:rPr>
                <w:b w:val="1"/>
                <w:bCs w:val="1"/>
              </w:rPr>
              <w:t xml:space="preserve">Наименование</w:t>
            </w:r>
          </w:p>
        </w:tc>
        <w:tc>
          <w:tcPr>
            <w:tcW w:w="1984.2519685039369505830109119415283203125" w:type="dxa"/>
            <w:noWrap/>
          </w:tcPr>
          <w:p>
            <w:pPr>
              <w:pStyle w:val="pCenter"/>
            </w:pPr>
            <w:r>
              <w:rPr>
                <w:b w:val="1"/>
                <w:bCs w:val="1"/>
              </w:rPr>
              <w:t xml:space="preserve">SNGL</w:t>
            </w:r>
          </w:p>
        </w:tc>
        <w:tc>
          <w:tcPr>
            <w:tcW w:w="1984.2519685039369505830109119415283203125" w:type="dxa"/>
            <w:noWrap/>
          </w:tcPr>
          <w:p>
            <w:pPr>
              <w:pStyle w:val="pCenter"/>
            </w:pPr>
            <w:r>
              <w:rPr>
                <w:b w:val="1"/>
                <w:bCs w:val="1"/>
              </w:rPr>
              <w:t xml:space="preserve">DBL</w:t>
            </w:r>
          </w:p>
        </w:tc>
      </w:tr>
      <w:tr>
        <w:trPr/>
        <w:tc>
          <w:tcPr>
            <w:vAlign w:val="center"/>
            <w:noWrap/>
          </w:tcPr>
          <w:p>
            <w:pPr/>
            <w:r>
              <w:rPr/>
              <w:t xml:space="preserve">1 чел.</w:t>
            </w:r>
          </w:p>
        </w:tc>
        <w:tc>
          <w:tcPr>
            <w:vAlign w:val="center"/>
            <w:noWrap/>
          </w:tcPr>
          <w:p>
            <w:pPr>
              <w:pStyle w:val="pRight"/>
            </w:pPr>
            <w:r>
              <w:rPr/>
              <w:t xml:space="preserve">2 220 $</w:t>
            </w:r>
          </w:p>
        </w:tc>
        <w:tc>
          <w:tcPr>
            <w:vAlign w:val="center"/>
            <w:noWrap/>
          </w:tcPr>
          <w:p>
            <w:pPr>
              <w:pStyle w:val="pRight"/>
            </w:pPr>
            <w:r>
              <w:rPr/>
              <w:t xml:space="preserve">2 124 $</w:t>
            </w:r>
          </w:p>
        </w:tc>
      </w:tr>
      <w:tr>
        <w:trPr/>
        <w:tc>
          <w:tcPr>
            <w:vAlign w:val="center"/>
            <w:noWrap/>
          </w:tcPr>
          <w:p>
            <w:pPr/>
            <w:r>
              <w:rPr/>
              <w:t xml:space="preserve">2 чел.</w:t>
            </w:r>
          </w:p>
        </w:tc>
        <w:tc>
          <w:tcPr>
            <w:vAlign w:val="center"/>
            <w:noWrap/>
          </w:tcPr>
          <w:p>
            <w:pPr>
              <w:pStyle w:val="pRight"/>
            </w:pPr>
            <w:r>
              <w:rPr/>
              <w:t xml:space="preserve">2 088 $</w:t>
            </w:r>
          </w:p>
        </w:tc>
        <w:tc>
          <w:tcPr>
            <w:vAlign w:val="center"/>
            <w:noWrap/>
          </w:tcPr>
          <w:p>
            <w:pPr>
              <w:pStyle w:val="pRight"/>
            </w:pPr>
            <w:r>
              <w:rPr/>
              <w:t xml:space="preserve">1 992 $</w:t>
            </w:r>
          </w:p>
        </w:tc>
      </w:tr>
      <w:tr>
        <w:trPr/>
        <w:tc>
          <w:tcPr>
            <w:vAlign w:val="center"/>
            <w:noWrap/>
          </w:tcPr>
          <w:p>
            <w:pPr/>
            <w:r>
              <w:rPr/>
              <w:t xml:space="preserve">3 чел.</w:t>
            </w:r>
          </w:p>
        </w:tc>
        <w:tc>
          <w:tcPr>
            <w:vAlign w:val="center"/>
            <w:noWrap/>
          </w:tcPr>
          <w:p>
            <w:pPr>
              <w:pStyle w:val="pRight"/>
            </w:pPr>
            <w:r>
              <w:rPr/>
              <w:t xml:space="preserve">2 070 $</w:t>
            </w:r>
          </w:p>
        </w:tc>
        <w:tc>
          <w:tcPr>
            <w:vAlign w:val="center"/>
            <w:noWrap/>
          </w:tcPr>
          <w:p>
            <w:pPr>
              <w:pStyle w:val="pRight"/>
            </w:pPr>
            <w:r>
              <w:rPr/>
              <w:t xml:space="preserve">1 974 $</w:t>
            </w:r>
          </w:p>
        </w:tc>
      </w:tr>
      <w:tr>
        <w:trPr/>
        <w:tc>
          <w:tcPr>
            <w:vAlign w:val="center"/>
            <w:noWrap/>
          </w:tcPr>
          <w:p>
            <w:pPr/>
            <w:r>
              <w:rPr/>
              <w:t xml:space="preserve">4 чел.</w:t>
            </w:r>
          </w:p>
        </w:tc>
        <w:tc>
          <w:tcPr>
            <w:vAlign w:val="center"/>
            <w:noWrap/>
          </w:tcPr>
          <w:p>
            <w:pPr>
              <w:pStyle w:val="pRight"/>
            </w:pPr>
            <w:r>
              <w:rPr/>
              <w:t xml:space="preserve">1 908 $</w:t>
            </w:r>
          </w:p>
        </w:tc>
        <w:tc>
          <w:tcPr>
            <w:vAlign w:val="center"/>
            <w:noWrap/>
          </w:tcPr>
          <w:p>
            <w:pPr>
              <w:pStyle w:val="pRight"/>
            </w:pPr>
            <w:r>
              <w:rPr/>
              <w:t xml:space="preserve">1 812 $</w:t>
            </w:r>
          </w:p>
        </w:tc>
      </w:tr>
      <w:tr>
        <w:trPr/>
        <w:tc>
          <w:tcPr>
            <w:vAlign w:val="center"/>
            <w:noWrap/>
          </w:tcPr>
          <w:p>
            <w:pPr/>
            <w:r>
              <w:rPr/>
              <w:t xml:space="preserve">5 чел.</w:t>
            </w:r>
          </w:p>
        </w:tc>
        <w:tc>
          <w:tcPr>
            <w:vAlign w:val="center"/>
            <w:noWrap/>
          </w:tcPr>
          <w:p>
            <w:pPr>
              <w:pStyle w:val="pRight"/>
            </w:pPr>
            <w:r>
              <w:rPr/>
              <w:t xml:space="preserve">1 878 $</w:t>
            </w:r>
          </w:p>
        </w:tc>
        <w:tc>
          <w:tcPr>
            <w:vAlign w:val="center"/>
            <w:noWrap/>
          </w:tcPr>
          <w:p>
            <w:pPr>
              <w:pStyle w:val="pRight"/>
            </w:pPr>
            <w:r>
              <w:rPr/>
              <w:t xml:space="preserve">1 782 $</w:t>
            </w:r>
          </w:p>
        </w:tc>
      </w:tr>
    </w:tbl>
    <w:p>
      <w:pPr>
        <w:pStyle w:val="Heading3"/>
      </w:pPr>
      <w:bookmarkStart w:id="3" w:name="_Toc3"/>
      <w:r>
        <w:t>В стоимость тура включено:</w:t>
      </w:r>
      <w:bookmarkEnd w:id="3"/>
    </w:p>
    <w:p>
      <w:pPr>
        <w:pStyle w:val="listTight"/>
        <w:numPr>
          <w:ilvl w:val="0"/>
          <w:numId w:val="10"/>
        </w:numPr>
      </w:pPr>
      <w:r>
        <w:rPr/>
        <w:t xml:space="preserve">Медицинская страховка    </w:t>
      </w:r>
    </w:p>
    <w:p>
      <w:pPr>
        <w:pStyle w:val="listTight"/>
        <w:numPr>
          <w:ilvl w:val="0"/>
          <w:numId w:val="10"/>
        </w:numPr>
      </w:pPr>
      <w:r>
        <w:rPr/>
        <w:t xml:space="preserve">Транспортное и экскурсионное обслуживание по программе с англоговорящим гидом </w:t>
      </w:r>
    </w:p>
    <w:p>
      <w:pPr>
        <w:pStyle w:val="listTight"/>
        <w:numPr>
          <w:ilvl w:val="0"/>
          <w:numId w:val="10"/>
        </w:numPr>
      </w:pPr>
      <w:r>
        <w:rPr/>
        <w:t xml:space="preserve">Проживание и питание по программе    </w:t>
      </w:r>
    </w:p>
    <w:p>
      <w:pPr>
        <w:pStyle w:val="Heading3"/>
      </w:pPr>
      <w:bookmarkStart w:id="4" w:name="_Toc4"/>
      <w:r>
        <w:t>Оплачивается дополнительно:</w:t>
      </w:r>
      <w:bookmarkEnd w:id="4"/>
    </w:p>
    <w:p>
      <w:pPr>
        <w:pStyle w:val="listTight"/>
        <w:numPr>
          <w:ilvl w:val="0"/>
          <w:numId w:val="10"/>
        </w:numPr>
      </w:pPr>
      <w:r>
        <w:rPr/>
        <w:t xml:space="preserve">Чаевые и расходы личного характера</w:t>
      </w:r>
    </w:p>
    <w:p>
      <w:pPr>
        <w:pStyle w:val="listTight"/>
        <w:numPr>
          <w:ilvl w:val="0"/>
          <w:numId w:val="10"/>
        </w:numPr>
      </w:pPr>
      <w:r>
        <w:rPr/>
        <w:t xml:space="preserve">Международный перелет </w:t>
      </w:r>
    </w:p>
    <w:p>
      <w:pPr>
        <w:pStyle w:val="listTight"/>
        <w:numPr>
          <w:ilvl w:val="0"/>
          <w:numId w:val="10"/>
        </w:numPr>
      </w:pPr>
      <w:r>
        <w:rPr/>
        <w:t xml:space="preserve">Внутренние перелеты    </w:t>
      </w:r>
    </w:p>
    <w:p>
      <w:pPr>
        <w:pStyle w:val="listTight"/>
        <w:numPr>
          <w:ilvl w:val="0"/>
          <w:numId w:val="10"/>
        </w:numPr>
      </w:pPr>
      <w:r>
        <w:rPr/>
        <w:t xml:space="preserve">Визовый сбор</w:t>
      </w:r>
    </w:p>
    <w:p/>
    <w:p>
      <w:pPr>
        <w:pStyle w:val="pStyle"/>
      </w:pPr>
      <w:r>
        <w:rPr/>
        <w:t xml:space="preserve">Телефон для заказа: +7(925) 514-83-53</w:t>
      </w:r>
    </w:p>
    <w:p>
      <w:pPr>
        <w:pStyle w:val="pStyle"/>
      </w:pPr>
      <w:r>
        <w:rPr/>
        <w:t xml:space="preserve">E-mail: info@wildtrek.ru</w:t>
      </w:r>
    </w:p>
    <w:sectPr>
      <w:pgSz w:orient="portrait" w:w="11905.511811023621703498065471649169921875" w:h="16837.7952755905498634092509746551513671875"/>
      <w:pgMar w:top="1133.858267716535237923380918800830841064453125" w:right="1133.858267716535237923380918800830841064453125" w:bottom="1133.858267716535237923380918800830841064453125" w:left="1133.8582677165352379233809188008308410644531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7B0A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360"/>
    </w:pPr>
    <w:rPr>
      <w:sz w:val="44"/>
      <w:szCs w:val="44"/>
      <w:b w:val="1"/>
      <w:bCs w:val="1"/>
    </w:rPr>
  </w:style>
  <w:style w:type="paragraph" w:styleId="Heading2">
    <w:link w:val="Heading2Char"/>
    <w:name w:val="heading 2"/>
    <w:basedOn w:val="Normal"/>
    <w:pPr>
      <w:spacing w:before="400" w:after="280"/>
    </w:pPr>
    <w:rPr>
      <w:sz w:val="32"/>
      <w:szCs w:val="32"/>
      <w:b w:val="1"/>
      <w:bCs w:val="1"/>
    </w:rPr>
  </w:style>
  <w:style w:type="paragraph" w:styleId="Heading3">
    <w:link w:val="Heading3Char"/>
    <w:name w:val="heading 3"/>
    <w:basedOn w:val="Normal"/>
    <w:pPr>
      <w:spacing w:before="320" w:after="200"/>
    </w:pPr>
    <w:rPr>
      <w:sz w:val="28"/>
      <w:szCs w:val="28"/>
      <w:b w:val="1"/>
      <w:bCs w:val="1"/>
    </w:rPr>
  </w:style>
  <w:style w:type="paragraph" w:customStyle="1" w:styleId="pStyle">
    <w:name w:val="pStyle"/>
    <w:basedOn w:val="Normal"/>
    <w:pPr>
      <w:spacing w:after="0" w:line="240" w:lineRule="auto"/>
    </w:pPr>
  </w:style>
  <w:style w:type="paragraph" w:customStyle="1" w:styleId="pCenter">
    <w:name w:val="pCenter"/>
    <w:basedOn w:val="Normal"/>
    <w:pPr>
      <w:jc w:val="center"/>
      <w:spacing w:line="240" w:lineRule="auto"/>
    </w:pPr>
  </w:style>
  <w:style w:type="paragraph" w:customStyle="1" w:styleId="pRight">
    <w:name w:val="pRight"/>
    <w:basedOn w:val="Normal"/>
    <w:pPr>
      <w:jc w:val="end"/>
      <w:spacing w:line="240" w:lineRule="auto"/>
    </w:pPr>
  </w:style>
  <w:style w:type="table" w:customStyle="1" w:styleId="PriceTable">
    <w:name w:val="PriceTable"/>
    <w:uiPriority w:val="99"/>
    <w:tblPr>
      <w:tblW w:w="0" w:type="auto"/>
      <w:tblLayout w:type="autofit"/>
      <w:tblCellMar>
        <w:top w:w="100" w:type="dxa"/>
        <w:left w:w="100" w:type="dxa"/>
        <w:right w:w="100" w:type="dxa"/>
        <w:bottom w:w="100" w:type="dxa"/>
      </w:tblCellMar>
      <w:tblBorders>
        <w:top w:val="single" w:sz="6" w:color="999999"/>
        <w:left w:val="single" w:sz="6" w:color="999999"/>
        <w:right w:val="single" w:sz="6" w:color="999999"/>
        <w:bottom w:val="single" w:sz="6" w:color="999999"/>
        <w:insideH w:val="single" w:sz="6" w:color="999999"/>
        <w:insideV w:val="single" w:sz="6" w:color="999999"/>
      </w:tblBorders>
    </w:tblPr>
  </w:style>
  <w:style w:type="paragraph" w:customStyle="1" w:styleId="pTight">
    <w:name w:val="pTight"/>
    <w:basedOn w:val="Normal"/>
    <w:pPr>
      <w:spacing w:before="0" w:after="0" w:line="240" w:lineRule="auto"/>
    </w:pPr>
  </w:style>
  <w:style w:type="paragraph" w:customStyle="1" w:styleId="listTight">
    <w:name w:val="listTight"/>
    <w:basedOn w:val="Normal"/>
    <w:pPr>
      <w:ind w:left="283.46456692913380948084522970020771026611328125" w:right="0" w:firstLine="0" w:hanging="0"/>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2026-07-14T18:20:06+03:00</dcterms:created>
  <dcterms:modified xsi:type="dcterms:W3CDTF">2026-07-14T18:20:06+03:00</dcterms:modified>
</cp:coreProperties>
</file>

<file path=docProps/custom.xml><?xml version="1.0" encoding="utf-8"?>
<Properties xmlns="http://schemas.openxmlformats.org/officeDocument/2006/custom-properties" xmlns:vt="http://schemas.openxmlformats.org/officeDocument/2006/docPropsVTypes"/>
</file>